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Kalmar kommunfullmäktige</w:t>
      </w:r>
    </w:p>
    <w:p>
      <w:pPr>
        <w:pStyle w:val="Heading1"/>
      </w:pPr>
      <w:r>
        <w:t xml:space="preserve">Ökad studiero och fler lärare i Kalmar grundskolor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Kalmar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Kalmar kommuns skolresultat ligger under rikssnittet enligt Kolada 2025. Brå-rapport 2024 visar ökade ordningsproblem på flera skolor. Fler behöriga lärare och tidiga insatser krävs för att höja kunskapsnivån.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Kalmar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en kommunal handlingsplan för studiero med mätbara mål senast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öka antalet legitimerade lärare med minst 20 heltidstjänster inom tre år.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tidig screening av läs- och skrivsvårigheter i årskurs 1–3.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avsätta 5 mnkr årligen för fortbildning i klassrumsledarskap.</w:t>
      </w:r>
    </w:p>
    <w:p>
      <w:pPr>
        <w:spacing w:before="360"/>
      </w:pPr>
    </w:p>
    <w:p>
      <w:r>
        <w:t xml:space="preserve">Kalmar,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Kalmar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2026-07-14T03:45:53.190Z</dcterms:created>
  <dcterms:modified xsi:type="dcterms:W3CDTF">2026-07-14T03:45:53.190Z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